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A9A8" w14:textId="77777777" w:rsidR="009910B2" w:rsidRPr="009818C7" w:rsidRDefault="003E17A5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>
        <w:rPr>
          <w:rFonts w:eastAsia="Times New Roman"/>
          <w:b/>
          <w:bCs/>
          <w:color w:val="000000"/>
          <w:kern w:val="0"/>
          <w:szCs w:val="22"/>
          <w:lang w:eastAsia="cs-CZ"/>
        </w:rPr>
        <w:t>Hudební stenografie</w:t>
      </w:r>
    </w:p>
    <w:p w14:paraId="4BC194EE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</w:rPr>
      </w:pPr>
    </w:p>
    <w:p w14:paraId="5C7B54E3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Výraz „těsnopis“ vyvolá u drtivé většiny těch, kdo ho slyší nebo čtou, nepochybně intuitivní představu nástroje, který umožňuje pořídit grafický záznam jak verbální formy myšlenky, zaznamenané jejím autorem k uchování nebo k dalšímu zpracování, tak doslovného zápisu řečnických projevů, pronášených při různých společenských příležitostech. Dějiny těsnopisu tuto představu potvrzují a prezentují přehled soustav, umožňujících uvedené dva účely plnit. Ale těsnopis a hudba? A přece!</w:t>
      </w:r>
    </w:p>
    <w:p w14:paraId="02746DEC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 </w:t>
      </w:r>
    </w:p>
    <w:p w14:paraId="47A9A7F6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Tradiční způsob záznamu hudební myšlenky notovým zápisem je sice velmi přesný a srozumitelný, avšak tahově i časově značně náročný a tudíž neoperativní. A poněvadž „rychle letí“ nejen slova, jak věděl už starořímský epigramatik </w:t>
      </w:r>
      <w:proofErr w:type="spellStart"/>
      <w:r w:rsidRPr="009910B2">
        <w:rPr>
          <w:rFonts w:eastAsia="Times New Roman"/>
          <w:color w:val="222222"/>
          <w:kern w:val="0"/>
          <w:szCs w:val="22"/>
          <w:shd w:val="clear" w:color="auto" w:fill="FFFFFF"/>
          <w:lang w:eastAsia="cs-CZ"/>
        </w:rPr>
        <w:t>Martialis</w:t>
      </w:r>
      <w:proofErr w:type="spellEnd"/>
      <w:r w:rsidRPr="009910B2">
        <w:rPr>
          <w:rFonts w:eastAsia="Times New Roman"/>
          <w:color w:val="222222"/>
          <w:kern w:val="0"/>
          <w:szCs w:val="22"/>
          <w:shd w:val="clear" w:color="auto" w:fill="FFFFFF"/>
          <w:lang w:eastAsia="cs-CZ"/>
        </w:rPr>
        <w:t>, 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nýbrž i melodie, je zcela přirozené, </w:t>
      </w:r>
      <w:r w:rsidR="006C3716">
        <w:rPr>
          <w:rFonts w:eastAsia="Times New Roman"/>
          <w:color w:val="000000"/>
          <w:kern w:val="0"/>
          <w:szCs w:val="22"/>
          <w:lang w:eastAsia="cs-CZ"/>
        </w:rPr>
        <w:t>že se i v oblasti hudby objevi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ly a stále objevují snahy o vytvoření záznamového prostředku, který by se stejnou přesností svou grafickou jednoduchostí umožňoval </w:t>
      </w:r>
      <w:r w:rsidR="00D66777">
        <w:rPr>
          <w:rFonts w:eastAsia="Times New Roman"/>
          <w:color w:val="000000"/>
          <w:kern w:val="0"/>
          <w:szCs w:val="22"/>
          <w:lang w:eastAsia="cs-CZ"/>
        </w:rPr>
        <w:t>její zápis rychleji a efektivněji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>. Tuto potřebu nepociťují pouze hudební skladat</w:t>
      </w:r>
      <w:r w:rsidR="00E91B23">
        <w:rPr>
          <w:rFonts w:eastAsia="Times New Roman"/>
          <w:color w:val="000000"/>
          <w:kern w:val="0"/>
          <w:szCs w:val="22"/>
          <w:lang w:eastAsia="cs-CZ"/>
        </w:rPr>
        <w:t>elé, byť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patrně především oni. O Josefu Sukovi se vypráví, že prý o jednom místě své </w:t>
      </w:r>
      <w:r w:rsidRPr="009910B2">
        <w:rPr>
          <w:rFonts w:eastAsia="Times New Roman"/>
          <w:color w:val="000000"/>
          <w:kern w:val="0"/>
          <w:szCs w:val="22"/>
          <w:shd w:val="clear" w:color="auto" w:fill="FFFFFF"/>
          <w:lang w:eastAsia="cs-CZ"/>
        </w:rPr>
        <w:t>symfonické básně</w:t>
      </w:r>
      <w:r w:rsidRPr="009910B2">
        <w:rPr>
          <w:rFonts w:eastAsia="Times New Roman"/>
          <w:color w:val="202122"/>
          <w:kern w:val="0"/>
          <w:szCs w:val="22"/>
          <w:shd w:val="clear" w:color="auto" w:fill="FFFFFF"/>
          <w:lang w:eastAsia="cs-CZ"/>
        </w:rPr>
        <w:t> Zrání říkával,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> že ho tam „políbila múza“, a že velmi litoval, že obsah onoho hudebního políbení bohužel nestihl v úplnosti notově zaznamenat.</w:t>
      </w:r>
    </w:p>
    <w:p w14:paraId="529D6F2C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 </w:t>
      </w:r>
    </w:p>
    <w:p w14:paraId="7CBEBD8D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Aby bylo patrno, s čím vším se musí tvůrce hudebního těsnopisného systému vyrovnat, je nutno si alespoň přehledně uvědomit základní prvky hudební myšlenky. J</w:t>
      </w:r>
      <w:r w:rsidR="00286F13">
        <w:rPr>
          <w:rFonts w:eastAsia="Times New Roman"/>
          <w:color w:val="000000"/>
          <w:kern w:val="0"/>
          <w:szCs w:val="22"/>
          <w:lang w:eastAsia="cs-CZ"/>
        </w:rPr>
        <w:t>e vyjádřena tóny určité výšky (c, d, e atd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>.), stálé nebo proměnlivé síly (p, &lt;, ff) a délky (celými, půlovými, čtvrťovými a kratšími notami), seskupenými v určité linkové osnově do rytmických celků (taktů) a realizovanými určitou stálou nebo proměnlivou rychlostí (andante, presto – accelerando, ritardando apod.) v podobě jednohlasu, vícehlasu nebo sledu akordů, jejichž zvuková konkretizace vyžaduje vyznačení notového klíče a předznamenání tóniny. Součástí melodie jsou i různé způsoby tvoření a spojování jednotlivých tónů, různě dlouhá přerušení jejich sledu (pomlky) a četné prvky další.</w:t>
      </w:r>
    </w:p>
    <w:p w14:paraId="3C7AD0DF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 </w:t>
      </w:r>
    </w:p>
    <w:p w14:paraId="4EABBE39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Z pokusů o vypracování takovéhoto pracovního prostředku jsem měl možnost prostudovat soustavu mnichovského varhaníka Adolfa 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Baumgartnera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(1) a známého pražského sbormistra dr. Bohumila 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Kulínského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(2).</w:t>
      </w:r>
    </w:p>
    <w:p w14:paraId="2DAD67ED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 </w:t>
      </w:r>
    </w:p>
    <w:p w14:paraId="7078B30E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Soustava 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Baumgartnerova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vychází z tvarů těsnopisné soustavy jeho o generaci staršího současníka</w:t>
      </w:r>
      <w:r w:rsidR="00704329">
        <w:rPr>
          <w:rFonts w:eastAsia="Times New Roman"/>
          <w:color w:val="000000"/>
          <w:kern w:val="0"/>
          <w:szCs w:val="22"/>
          <w:lang w:eastAsia="cs-CZ"/>
        </w:rPr>
        <w:t xml:space="preserve"> Franze Xavera </w:t>
      </w:r>
      <w:proofErr w:type="spellStart"/>
      <w:r w:rsidR="00704329">
        <w:rPr>
          <w:rFonts w:eastAsia="Times New Roman"/>
          <w:color w:val="000000"/>
          <w:kern w:val="0"/>
          <w:szCs w:val="22"/>
          <w:lang w:eastAsia="cs-CZ"/>
        </w:rPr>
        <w:t>Gabelsbergera</w:t>
      </w:r>
      <w:proofErr w:type="spellEnd"/>
      <w:r w:rsidR="00704329">
        <w:rPr>
          <w:rFonts w:eastAsia="Times New Roman"/>
          <w:color w:val="000000"/>
          <w:kern w:val="0"/>
          <w:szCs w:val="22"/>
          <w:lang w:eastAsia="cs-CZ"/>
        </w:rPr>
        <w:t xml:space="preserve">; </w:t>
      </w:r>
      <w:proofErr w:type="spellStart"/>
      <w:r w:rsidR="00704329">
        <w:rPr>
          <w:rFonts w:eastAsia="Times New Roman"/>
          <w:color w:val="000000"/>
          <w:kern w:val="0"/>
          <w:szCs w:val="22"/>
          <w:lang w:eastAsia="cs-CZ"/>
        </w:rPr>
        <w:t>Ba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>umgartner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totiž, ač povoláním varhaník, zabýval se i těsnopisem a byl nejen řádným členem mnichovského Centrálního 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gabelsbergovského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stenografického spolku, nýbrž i dopisujícím členem vídeňského Centrálního stenografického spolku rakouských států.</w:t>
      </w:r>
    </w:p>
    <w:p w14:paraId="617A169F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 </w:t>
      </w:r>
    </w:p>
    <w:p w14:paraId="23C2B964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Svůj výklad začíná do čtyř taktů uspořádanými osmadvaceti tóny základních čtyř oktáv, pro jejichž vyznačení použil grafické tvary abecedy uvedené těsnopisné soustavy. Prvků této soustavy používá i pro vyznačení většiny dalších ze shora uvedených – a pro stručnost i neuvedených – charakteristik hudebních myšlenek. Mělo-li by být použito základní dělení klasických </w:t>
      </w:r>
      <w:r w:rsidR="001B4577">
        <w:rPr>
          <w:rFonts w:eastAsia="Times New Roman"/>
          <w:color w:val="000000"/>
          <w:kern w:val="0"/>
          <w:szCs w:val="22"/>
          <w:lang w:eastAsia="cs-CZ"/>
        </w:rPr>
        <w:t>těsnopisných soustav na kurzívní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a geometrické, patřil by 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Baumgartnerův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systém do kategorie první.</w:t>
      </w:r>
    </w:p>
    <w:p w14:paraId="004EECD3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</w:p>
    <w:p w14:paraId="6EE016AB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 Brožurka má dvě základní části, z nichž první o dvaačtyřiceti stránkách obsahuje popis jednotlivých charakteristik navrhované hudební těsnopisné soustavy, druhá o šestnácti stránkách pak prezentuje uváděné principy v grafické podobě. Představu</w:t>
      </w:r>
      <w:r w:rsidR="00FE39F3">
        <w:rPr>
          <w:rFonts w:eastAsia="Times New Roman"/>
          <w:color w:val="000000"/>
          <w:kern w:val="0"/>
          <w:szCs w:val="22"/>
          <w:lang w:eastAsia="cs-CZ"/>
        </w:rPr>
        <w:t xml:space="preserve"> o těsnopisném zápisu 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jednohlasé hudební skladby touto soustavou může </w:t>
      </w:r>
      <w:r w:rsidR="00FE39F3">
        <w:rPr>
          <w:rFonts w:eastAsia="Times New Roman"/>
          <w:color w:val="000000"/>
          <w:kern w:val="0"/>
          <w:szCs w:val="22"/>
          <w:lang w:eastAsia="cs-CZ"/>
        </w:rPr>
        <w:t xml:space="preserve">poskytnout začátek anglické lidové písně 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Baumgartnerovy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doby (3).</w:t>
      </w:r>
    </w:p>
    <w:p w14:paraId="25D28AEC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</w:p>
    <w:p w14:paraId="192837B5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Za zmínku </w:t>
      </w:r>
      <w:r w:rsidR="00FD3D1E">
        <w:rPr>
          <w:rFonts w:eastAsia="Times New Roman"/>
          <w:color w:val="000000"/>
          <w:kern w:val="0"/>
          <w:szCs w:val="22"/>
          <w:lang w:eastAsia="cs-CZ"/>
        </w:rPr>
        <w:t xml:space="preserve">však 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>patrně stojí i několik úvodních vět spisku, charakterizujících autorův vztah nejen k pojednávané tématice. Píše: „Každý, i nevýznamný objev, učiněný v umění a ve vědě, je pokrokem a může, je-li vážně sledován, stát se užitečným. Je tudíž povinností každého jedince dát většímu společenství na vědomí, oč v jakémkoli oboru užitečného mu jeho získaná způsobilost, shodou okolností vyvolaný podnět či pošeptání génia šťastné chvíle dovolily usilovat.“ – Nezajímavé?</w:t>
      </w:r>
    </w:p>
    <w:p w14:paraId="36EDE888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 </w:t>
      </w:r>
    </w:p>
    <w:p w14:paraId="5FFE71B6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Příkladem nové hudební těsnopisné soustavy je 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Kulínského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vokální stenografie. Svým systémem autor nemíní nahrazovat obecně používané a osvědčené písmo notové, nýbrž chce poskytnout spolehlivý nástroj pro záznam hudební myšlenky v situacích, v nichž důležitou roli hraje čas; bývá to nejen při 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lastRenderedPageBreak/>
        <w:t xml:space="preserve">potřebě zachytit vlastní hudební nápad či zajímavou slyšenou melodii, nýbrž i v průběhu obecné hudební či speciální </w:t>
      </w:r>
      <w:r w:rsidR="005158C6">
        <w:rPr>
          <w:rFonts w:eastAsia="Times New Roman"/>
          <w:color w:val="000000"/>
          <w:kern w:val="0"/>
          <w:szCs w:val="22"/>
          <w:lang w:eastAsia="cs-CZ"/>
        </w:rPr>
        <w:t>pěvecké a skladatelské výchovy i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v jiných oblastech hudební praxe.</w:t>
      </w:r>
    </w:p>
    <w:p w14:paraId="3F5D37D2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 </w:t>
      </w:r>
    </w:p>
    <w:p w14:paraId="763351EC" w14:textId="77777777" w:rsidR="00CE1B84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Také toto dílko začíná prezentací tvarů pro shora uvedené základní charakteristiky hudební myšlenky a pokračuje uvedením hudebně těsnopisných tvarů pro grafický záznam všec</w:t>
      </w:r>
      <w:r w:rsidR="00CC0EB4">
        <w:rPr>
          <w:rFonts w:eastAsia="Times New Roman"/>
          <w:color w:val="000000"/>
          <w:kern w:val="0"/>
          <w:szCs w:val="22"/>
          <w:lang w:eastAsia="cs-CZ"/>
        </w:rPr>
        <w:t>h dalších jejích vlastností.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Nečiní to však na bázi žádné z existujících těsnopisných soustav, nýbrž tvary vlastními, </w:t>
      </w:r>
      <w:r w:rsidR="00CC0EB4">
        <w:rPr>
          <w:rFonts w:eastAsia="Times New Roman"/>
          <w:color w:val="000000"/>
          <w:kern w:val="0"/>
          <w:szCs w:val="22"/>
          <w:lang w:eastAsia="cs-CZ"/>
        </w:rPr>
        <w:t xml:space="preserve">jež evokují spíše znaky 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>tradiční</w:t>
      </w:r>
      <w:r w:rsidR="00CC0EB4">
        <w:rPr>
          <w:rFonts w:eastAsia="Times New Roman"/>
          <w:color w:val="000000"/>
          <w:kern w:val="0"/>
          <w:szCs w:val="22"/>
          <w:lang w:eastAsia="cs-CZ"/>
        </w:rPr>
        <w:t>ch těsnopisných</w:t>
      </w:r>
      <w:r w:rsidR="00CE1B84">
        <w:rPr>
          <w:rFonts w:eastAsia="Times New Roman"/>
          <w:color w:val="000000"/>
          <w:kern w:val="0"/>
          <w:szCs w:val="22"/>
          <w:lang w:eastAsia="cs-CZ"/>
        </w:rPr>
        <w:t xml:space="preserve"> soustav geometrických.</w:t>
      </w:r>
    </w:p>
    <w:p w14:paraId="29DAB463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  </w:t>
      </w:r>
    </w:p>
    <w:p w14:paraId="4646F1F0" w14:textId="77777777" w:rsidR="003C7607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Čtvrtá poznámka poskytuje příklad </w:t>
      </w:r>
      <w:proofErr w:type="spellStart"/>
      <w:r w:rsidR="00286F13">
        <w:rPr>
          <w:rFonts w:eastAsia="Times New Roman"/>
          <w:color w:val="000000"/>
          <w:kern w:val="0"/>
          <w:szCs w:val="22"/>
          <w:lang w:eastAsia="cs-CZ"/>
        </w:rPr>
        <w:t>Kulínského</w:t>
      </w:r>
      <w:proofErr w:type="spellEnd"/>
      <w:r w:rsidR="00286F13">
        <w:rPr>
          <w:rFonts w:eastAsia="Times New Roman"/>
          <w:color w:val="000000"/>
          <w:kern w:val="0"/>
          <w:szCs w:val="22"/>
          <w:lang w:eastAsia="cs-CZ"/>
        </w:rPr>
        <w:t xml:space="preserve"> 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vokální stenografií zapsaných prvních osmi taktů známého </w:t>
      </w:r>
      <w:r w:rsidR="009B2C4F">
        <w:rPr>
          <w:rFonts w:eastAsia="Times New Roman"/>
          <w:color w:val="000000"/>
          <w:kern w:val="0"/>
          <w:szCs w:val="22"/>
          <w:lang w:eastAsia="cs-CZ"/>
        </w:rPr>
        <w:t xml:space="preserve">úvodního 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>smíšeného pěveckého sboru z Prodané nevěsty (soprány, alty, tenory basy).</w:t>
      </w:r>
    </w:p>
    <w:p w14:paraId="2ABC51F7" w14:textId="77777777" w:rsidR="003C7607" w:rsidRDefault="003C7607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</w:p>
    <w:p w14:paraId="15A1390A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Zajímavé by samozřejmě bylo zjistit, zda vůbec, a pokud ano, pak v jaké míře se hudební stenografie v hudební praxi používá. O tom ovšem nelze najít</w:t>
      </w:r>
      <w:r w:rsidR="00286F13">
        <w:rPr>
          <w:rFonts w:eastAsia="Times New Roman"/>
          <w:color w:val="000000"/>
          <w:kern w:val="0"/>
          <w:szCs w:val="22"/>
          <w:lang w:eastAsia="cs-CZ"/>
        </w:rPr>
        <w:t xml:space="preserve"> žádné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informace.</w:t>
      </w:r>
    </w:p>
    <w:p w14:paraId="6515F2F9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> </w:t>
      </w:r>
    </w:p>
    <w:p w14:paraId="16171918" w14:textId="77777777" w:rsidR="00020B90" w:rsidRDefault="009910B2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(1) Augusta 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Baumgartner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: 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Kurzgefasste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Anleitung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zur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m</w:t>
      </w:r>
      <w:r w:rsidR="004E1D59">
        <w:rPr>
          <w:rFonts w:eastAsia="Times New Roman"/>
          <w:color w:val="000000"/>
          <w:kern w:val="0"/>
          <w:szCs w:val="22"/>
          <w:lang w:eastAsia="cs-CZ"/>
        </w:rPr>
        <w:t>usikalischen</w:t>
      </w:r>
      <w:proofErr w:type="spellEnd"/>
      <w:r w:rsidR="004E1D59">
        <w:rPr>
          <w:rFonts w:eastAsia="Times New Roman"/>
          <w:color w:val="000000"/>
          <w:kern w:val="0"/>
          <w:szCs w:val="22"/>
          <w:lang w:eastAsia="cs-CZ"/>
        </w:rPr>
        <w:t xml:space="preserve"> </w:t>
      </w:r>
      <w:proofErr w:type="spellStart"/>
      <w:r w:rsidR="004E1D59">
        <w:rPr>
          <w:rFonts w:eastAsia="Times New Roman"/>
          <w:color w:val="000000"/>
          <w:kern w:val="0"/>
          <w:szCs w:val="22"/>
          <w:lang w:eastAsia="cs-CZ"/>
        </w:rPr>
        <w:t>Stenographie</w:t>
      </w:r>
      <w:proofErr w:type="spellEnd"/>
      <w:r w:rsidR="004E1D59">
        <w:rPr>
          <w:rFonts w:eastAsia="Times New Roman"/>
          <w:color w:val="000000"/>
          <w:kern w:val="0"/>
          <w:szCs w:val="22"/>
          <w:lang w:eastAsia="cs-CZ"/>
        </w:rPr>
        <w:t xml:space="preserve"> oder </w:t>
      </w:r>
      <w:r w:rsidR="004E1D59">
        <w:rPr>
          <w:rFonts w:eastAsia="Times New Roman"/>
          <w:color w:val="000000"/>
          <w:kern w:val="0"/>
          <w:szCs w:val="22"/>
          <w:lang w:eastAsia="cs-CZ"/>
        </w:rPr>
        <w:tab/>
      </w:r>
      <w:proofErr w:type="spellStart"/>
      <w:r w:rsidR="004E1D59">
        <w:rPr>
          <w:rFonts w:eastAsia="Times New Roman"/>
          <w:color w:val="000000"/>
          <w:kern w:val="0"/>
          <w:szCs w:val="22"/>
          <w:lang w:eastAsia="cs-CZ"/>
        </w:rPr>
        <w:t>T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>onzeichenkunst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(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München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1853, str. 66)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br/>
        <w:t xml:space="preserve">(2) Bohumil 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Kulínský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>: Vokální stenografie (</w:t>
      </w:r>
      <w:proofErr w:type="spellStart"/>
      <w:r w:rsidRPr="009910B2">
        <w:rPr>
          <w:rFonts w:eastAsia="Times New Roman"/>
          <w:color w:val="000000"/>
          <w:kern w:val="0"/>
          <w:szCs w:val="22"/>
          <w:lang w:eastAsia="cs-CZ"/>
        </w:rPr>
        <w:t>Panton</w:t>
      </w:r>
      <w:proofErr w:type="spellEnd"/>
      <w:r w:rsidRPr="009910B2">
        <w:rPr>
          <w:rFonts w:eastAsia="Times New Roman"/>
          <w:color w:val="000000"/>
          <w:kern w:val="0"/>
          <w:szCs w:val="22"/>
          <w:lang w:eastAsia="cs-CZ"/>
        </w:rPr>
        <w:t>, Pr</w:t>
      </w:r>
      <w:r w:rsidR="004645C4">
        <w:rPr>
          <w:rFonts w:eastAsia="Times New Roman"/>
          <w:color w:val="000000"/>
          <w:kern w:val="0"/>
          <w:szCs w:val="22"/>
          <w:lang w:eastAsia="cs-CZ"/>
        </w:rPr>
        <w:t>aha 1983, str. 166)</w:t>
      </w:r>
      <w:r w:rsidR="004645C4">
        <w:rPr>
          <w:rFonts w:eastAsia="Times New Roman"/>
          <w:color w:val="000000"/>
          <w:kern w:val="0"/>
          <w:szCs w:val="22"/>
          <w:lang w:eastAsia="cs-CZ"/>
        </w:rPr>
        <w:br/>
        <w:t>(3) Začátek anglické lidové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 xml:space="preserve"> </w:t>
      </w:r>
      <w:r w:rsidR="00D2785B">
        <w:rPr>
          <w:rFonts w:eastAsia="Times New Roman"/>
          <w:color w:val="000000"/>
          <w:kern w:val="0"/>
          <w:szCs w:val="22"/>
          <w:lang w:eastAsia="cs-CZ"/>
        </w:rPr>
        <w:t>písně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br/>
        <w:t xml:space="preserve">(4) </w:t>
      </w:r>
      <w:r w:rsidR="009B2C4F">
        <w:rPr>
          <w:rFonts w:eastAsia="Times New Roman"/>
          <w:color w:val="000000"/>
          <w:kern w:val="0"/>
          <w:szCs w:val="22"/>
          <w:lang w:eastAsia="cs-CZ"/>
        </w:rPr>
        <w:t>„</w:t>
      </w:r>
      <w:r w:rsidRPr="009910B2">
        <w:rPr>
          <w:rFonts w:eastAsia="Times New Roman"/>
          <w:color w:val="000000"/>
          <w:kern w:val="0"/>
          <w:szCs w:val="22"/>
          <w:lang w:eastAsia="cs-CZ"/>
        </w:rPr>
        <w:t>Proč bychom se netěšili</w:t>
      </w:r>
      <w:r w:rsidR="003C7E81">
        <w:rPr>
          <w:rFonts w:eastAsia="Times New Roman"/>
          <w:color w:val="000000"/>
          <w:kern w:val="0"/>
          <w:szCs w:val="22"/>
          <w:lang w:eastAsia="cs-CZ"/>
        </w:rPr>
        <w:t>“</w:t>
      </w:r>
      <w:r w:rsidR="00020B90">
        <w:rPr>
          <w:rFonts w:eastAsia="Times New Roman"/>
          <w:color w:val="000000"/>
          <w:kern w:val="0"/>
          <w:szCs w:val="22"/>
          <w:lang w:eastAsia="cs-CZ"/>
        </w:rPr>
        <w:t xml:space="preserve"> </w:t>
      </w:r>
    </w:p>
    <w:p w14:paraId="0F2A7102" w14:textId="77777777" w:rsidR="00CC5480" w:rsidRDefault="00020B90" w:rsidP="009910B2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Cs w:val="22"/>
          <w:lang w:eastAsia="cs-CZ"/>
        </w:rPr>
      </w:pPr>
      <w:r>
        <w:rPr>
          <w:rFonts w:eastAsia="Times New Roman"/>
          <w:color w:val="000000"/>
          <w:kern w:val="0"/>
          <w:szCs w:val="22"/>
          <w:lang w:eastAsia="cs-CZ"/>
        </w:rPr>
        <w:t>(nk)</w:t>
      </w:r>
      <w:r>
        <w:rPr>
          <w:rFonts w:eastAsia="Times New Roman"/>
          <w:color w:val="000000"/>
          <w:kern w:val="0"/>
          <w:szCs w:val="22"/>
          <w:lang w:eastAsia="cs-CZ"/>
        </w:rPr>
        <w:br/>
        <w:t xml:space="preserve"> </w:t>
      </w:r>
      <w:r>
        <w:rPr>
          <w:rFonts w:eastAsia="Times New Roman"/>
          <w:color w:val="000000"/>
          <w:kern w:val="0"/>
          <w:szCs w:val="22"/>
          <w:lang w:eastAsia="cs-CZ"/>
        </w:rPr>
        <w:tab/>
      </w:r>
      <w:r>
        <w:rPr>
          <w:rFonts w:eastAsia="Times New Roman"/>
          <w:color w:val="000000"/>
          <w:kern w:val="0"/>
          <w:szCs w:val="22"/>
          <w:lang w:eastAsia="cs-CZ"/>
        </w:rPr>
        <w:tab/>
      </w:r>
      <w:r>
        <w:rPr>
          <w:rFonts w:eastAsia="Times New Roman"/>
          <w:color w:val="000000"/>
          <w:kern w:val="0"/>
          <w:szCs w:val="22"/>
          <w:lang w:eastAsia="cs-CZ"/>
        </w:rPr>
        <w:tab/>
      </w:r>
      <w:r>
        <w:rPr>
          <w:rFonts w:eastAsia="Times New Roman"/>
          <w:color w:val="000000"/>
          <w:kern w:val="0"/>
          <w:szCs w:val="22"/>
          <w:lang w:eastAsia="cs-CZ"/>
        </w:rPr>
        <w:tab/>
      </w:r>
      <w:r>
        <w:rPr>
          <w:rFonts w:eastAsia="Times New Roman"/>
          <w:color w:val="000000"/>
          <w:kern w:val="0"/>
          <w:szCs w:val="22"/>
          <w:lang w:eastAsia="cs-CZ"/>
        </w:rPr>
        <w:tab/>
      </w:r>
      <w:r>
        <w:rPr>
          <w:rFonts w:eastAsia="Times New Roman"/>
          <w:color w:val="000000"/>
          <w:kern w:val="0"/>
          <w:szCs w:val="22"/>
          <w:lang w:eastAsia="cs-CZ"/>
        </w:rPr>
        <w:tab/>
      </w:r>
      <w:r>
        <w:rPr>
          <w:rFonts w:eastAsia="Times New Roman"/>
          <w:color w:val="000000"/>
          <w:kern w:val="0"/>
          <w:szCs w:val="22"/>
          <w:lang w:eastAsia="cs-CZ"/>
        </w:rPr>
        <w:tab/>
      </w:r>
      <w:r>
        <w:rPr>
          <w:rFonts w:eastAsia="Times New Roman"/>
          <w:color w:val="000000"/>
          <w:kern w:val="0"/>
          <w:szCs w:val="22"/>
          <w:lang w:eastAsia="cs-CZ"/>
        </w:rPr>
        <w:tab/>
      </w:r>
      <w:r>
        <w:rPr>
          <w:rFonts w:eastAsia="Times New Roman"/>
          <w:color w:val="000000"/>
          <w:kern w:val="0"/>
          <w:szCs w:val="22"/>
          <w:lang w:eastAsia="cs-CZ"/>
        </w:rPr>
        <w:tab/>
      </w:r>
      <w:r>
        <w:rPr>
          <w:rFonts w:eastAsia="Times New Roman"/>
          <w:color w:val="000000"/>
          <w:kern w:val="0"/>
          <w:szCs w:val="22"/>
          <w:lang w:eastAsia="cs-CZ"/>
        </w:rPr>
        <w:tab/>
      </w:r>
      <w:r>
        <w:rPr>
          <w:rFonts w:eastAsia="Times New Roman"/>
          <w:color w:val="000000"/>
          <w:kern w:val="0"/>
          <w:szCs w:val="22"/>
          <w:lang w:eastAsia="cs-CZ"/>
        </w:rPr>
        <w:tab/>
      </w:r>
      <w:r>
        <w:rPr>
          <w:rFonts w:eastAsia="Times New Roman"/>
          <w:color w:val="000000"/>
          <w:kern w:val="0"/>
          <w:szCs w:val="22"/>
          <w:lang w:eastAsia="cs-CZ"/>
        </w:rPr>
        <w:tab/>
      </w:r>
    </w:p>
    <w:p w14:paraId="6A3E118C" w14:textId="77777777" w:rsidR="009910B2" w:rsidRPr="009910B2" w:rsidRDefault="009910B2" w:rsidP="00991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</w:rPr>
      </w:pPr>
      <w:r w:rsidRPr="009910B2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</w:rPr>
        <w:br/>
        <w:t>                                                   </w:t>
      </w:r>
    </w:p>
    <w:p w14:paraId="6A340E0F" w14:textId="77777777" w:rsidR="006B09CC" w:rsidRDefault="00D37CEC"/>
    <w:sectPr w:rsidR="006B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B2"/>
    <w:rsid w:val="00020B90"/>
    <w:rsid w:val="00024A34"/>
    <w:rsid w:val="000D7B64"/>
    <w:rsid w:val="001B4577"/>
    <w:rsid w:val="00286F13"/>
    <w:rsid w:val="003C7607"/>
    <w:rsid w:val="003C7E81"/>
    <w:rsid w:val="003E17A5"/>
    <w:rsid w:val="004645C4"/>
    <w:rsid w:val="004E1D59"/>
    <w:rsid w:val="005158C6"/>
    <w:rsid w:val="00572C29"/>
    <w:rsid w:val="005E4C30"/>
    <w:rsid w:val="006950DA"/>
    <w:rsid w:val="006C3716"/>
    <w:rsid w:val="00704329"/>
    <w:rsid w:val="00710292"/>
    <w:rsid w:val="007414C7"/>
    <w:rsid w:val="009314CF"/>
    <w:rsid w:val="00976CBC"/>
    <w:rsid w:val="009818C7"/>
    <w:rsid w:val="009910B2"/>
    <w:rsid w:val="009B2C4F"/>
    <w:rsid w:val="00CC0EB4"/>
    <w:rsid w:val="00CC5480"/>
    <w:rsid w:val="00CE1B84"/>
    <w:rsid w:val="00D2785B"/>
    <w:rsid w:val="00D37CEC"/>
    <w:rsid w:val="00D66777"/>
    <w:rsid w:val="00E0139B"/>
    <w:rsid w:val="00E741F7"/>
    <w:rsid w:val="00E91B23"/>
    <w:rsid w:val="00F06864"/>
    <w:rsid w:val="00FD3D1E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4960"/>
  <w15:chartTrackingRefBased/>
  <w15:docId w15:val="{E0411216-80C9-4286-BA61-B64816EE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F2F2F"/>
        <w:kern w:val="36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910B2"/>
    <w:rPr>
      <w:b/>
      <w:bCs/>
    </w:rPr>
  </w:style>
  <w:style w:type="paragraph" w:styleId="Odstavecseseznamem">
    <w:name w:val="List Paragraph"/>
    <w:basedOn w:val="Normln"/>
    <w:uiPriority w:val="34"/>
    <w:qFormat/>
    <w:rsid w:val="00CC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 Konůpek</cp:lastModifiedBy>
  <cp:revision>2</cp:revision>
  <dcterms:created xsi:type="dcterms:W3CDTF">2022-01-17T10:07:00Z</dcterms:created>
  <dcterms:modified xsi:type="dcterms:W3CDTF">2022-01-17T10:07:00Z</dcterms:modified>
</cp:coreProperties>
</file>